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ABEE" w14:textId="7E383E39" w:rsidR="00813F23" w:rsidRDefault="00813F23" w:rsidP="00813F2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>TOSCANA SEMPRE PIU’ VERDE: PRIMI IN ITALIA PER IL BIO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br/>
        <w:t>TORNA BUY</w:t>
      </w:r>
      <w:r w:rsidR="000D472B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>FOOD, COMPRATORI DAL MONDO PER IL GUSTO TOSCANO</w:t>
      </w:r>
    </w:p>
    <w:p w14:paraId="3F59B4AF" w14:textId="77777777" w:rsidR="00813F23" w:rsidRDefault="00813F23" w:rsidP="00813F2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</w:rPr>
      </w:pPr>
    </w:p>
    <w:p w14:paraId="42C7951D" w14:textId="77777777" w:rsidR="00900E2D" w:rsidRDefault="00900E2D" w:rsidP="00900E2D">
      <w:pPr>
        <w:shd w:val="clear" w:color="auto" w:fill="FFFFFF"/>
        <w:jc w:val="center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Il 26 e 27 ottobre al Palazzo degli Affari di Firenze al via gli incontri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>BtoB</w:t>
      </w:r>
      <w:proofErr w:type="spellEnd"/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tra produttori certificati </w:t>
      </w:r>
      <w:bookmarkStart w:id="0" w:name="_Hlk148380674"/>
      <w:r w:rsidRPr="008305C0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DOP, IGP, </w:t>
      </w:r>
      <w:proofErr w:type="spellStart"/>
      <w:r w:rsidRPr="008305C0">
        <w:rPr>
          <w:rFonts w:ascii="Arial" w:eastAsia="Times New Roman" w:hAnsi="Arial" w:cs="Arial"/>
          <w:i/>
          <w:iCs/>
          <w:color w:val="222222"/>
          <w:sz w:val="20"/>
          <w:szCs w:val="20"/>
        </w:rPr>
        <w:t>Agriqualità</w:t>
      </w:r>
      <w:proofErr w:type="spellEnd"/>
      <w:r w:rsidRPr="008305C0">
        <w:rPr>
          <w:rFonts w:ascii="Arial" w:eastAsia="Times New Roman" w:hAnsi="Arial" w:cs="Arial"/>
          <w:i/>
          <w:iCs/>
          <w:color w:val="222222"/>
          <w:sz w:val="20"/>
          <w:szCs w:val="20"/>
        </w:rPr>
        <w:t>, Prodotti di Montagna, Biologico e PAT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bookmarkEnd w:id="0"/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e buyer provenienti da oltre 20 paesi. </w:t>
      </w:r>
    </w:p>
    <w:p w14:paraId="7454C3C8" w14:textId="72E7D447" w:rsidR="00900E2D" w:rsidRDefault="00900E2D" w:rsidP="00900E2D">
      <w:pPr>
        <w:shd w:val="clear" w:color="auto" w:fill="FFFFFF"/>
        <w:jc w:val="center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Torna l’interesse dell’Asia, guadagna terreno sul mercato globale l’attenzione all’ambiente. </w:t>
      </w:r>
    </w:p>
    <w:p w14:paraId="45FCDF83" w14:textId="2E00EB6F" w:rsidR="00900E2D" w:rsidRDefault="00900E2D" w:rsidP="00900E2D">
      <w:pPr>
        <w:shd w:val="clear" w:color="auto" w:fill="FFFFFF"/>
        <w:jc w:val="center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>L’export delle IG strettamente regionali cresce nel 2021 del +34% rispetto al 2020</w:t>
      </w:r>
    </w:p>
    <w:p w14:paraId="4C214338" w14:textId="77777777" w:rsidR="00813F23" w:rsidRDefault="00813F23" w:rsidP="00813F23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</w:p>
    <w:p w14:paraId="331CA90A" w14:textId="078404A6" w:rsidR="00813F23" w:rsidRPr="00900E2D" w:rsidRDefault="00813F23" w:rsidP="00813F2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00E2D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Firenze, 18 ottobre 2023 –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È sempre più green la Toscana delle produzioni </w:t>
      </w:r>
      <w:proofErr w:type="spellStart"/>
      <w:r w:rsidRPr="00900E2D">
        <w:rPr>
          <w:rFonts w:ascii="Arial" w:eastAsia="Times New Roman" w:hAnsi="Arial" w:cs="Arial"/>
          <w:color w:val="222222"/>
          <w:sz w:val="20"/>
          <w:szCs w:val="20"/>
        </w:rPr>
        <w:t>gastroagroalimentari</w:t>
      </w:r>
      <w:proofErr w:type="spellEnd"/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verde come il certificato </w:t>
      </w:r>
      <w:proofErr w:type="spellStart"/>
      <w:r w:rsidRPr="00900E2D">
        <w:rPr>
          <w:rFonts w:ascii="Arial" w:eastAsia="Times New Roman" w:hAnsi="Arial" w:cs="Arial"/>
          <w:color w:val="222222"/>
          <w:sz w:val="20"/>
          <w:szCs w:val="20"/>
        </w:rPr>
        <w:t>bio</w:t>
      </w:r>
      <w:proofErr w:type="spellEnd"/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che campeggia sul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37% delle superfici coltivate e sulle etichette di oltre 7000 operatori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del settore: numeri da primato in Italia, portati alla luce dal report</w:t>
      </w:r>
      <w:r w:rsidR="00B75CCA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B6678" w:rsidRPr="00900E2D">
        <w:rPr>
          <w:rFonts w:ascii="Arial" w:eastAsia="Times New Roman" w:hAnsi="Arial" w:cs="Arial"/>
          <w:color w:val="222222"/>
          <w:sz w:val="20"/>
          <w:szCs w:val="20"/>
        </w:rPr>
        <w:t>ISMEA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che sarà presentato in occasione della prossima edizione di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Buy</w:t>
      </w:r>
      <w:r w:rsidR="000D472B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Food Toscana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vetrina internazionale del gusto made in </w:t>
      </w:r>
      <w:proofErr w:type="spellStart"/>
      <w:r w:rsidRPr="00900E2D">
        <w:rPr>
          <w:rFonts w:ascii="Arial" w:eastAsia="Times New Roman" w:hAnsi="Arial" w:cs="Arial"/>
          <w:color w:val="222222"/>
          <w:sz w:val="20"/>
          <w:szCs w:val="20"/>
        </w:rPr>
        <w:t>Tuscany</w:t>
      </w:r>
      <w:proofErr w:type="spellEnd"/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Giovedì 26 e venerdì 27 ottobre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al Palazzo degli Affari di Firenze circa 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68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produttori certificati DOP, IGP, Agriqualità, Prodotti di Montagna, Biologico e PAT incontreranno oltre </w:t>
      </w:r>
      <w:r w:rsidR="00BC03AD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50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buyer provenienti da tutto il mondo per stringere accordi commerciali. </w:t>
      </w:r>
    </w:p>
    <w:p w14:paraId="6D8DBB79" w14:textId="77777777" w:rsidR="00813F23" w:rsidRPr="00900E2D" w:rsidRDefault="00813F23" w:rsidP="00813F2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715DFECD" w14:textId="4B198848" w:rsidR="00813F23" w:rsidRPr="00900E2D" w:rsidRDefault="00813F23" w:rsidP="00CB4179">
      <w:pPr>
        <w:shd w:val="clear" w:color="auto" w:fill="FFFFFF"/>
        <w:spacing w:line="21" w:lineRule="atLeast"/>
        <w:jc w:val="both"/>
        <w:rPr>
          <w:rFonts w:ascii="Arial" w:eastAsia="Times New Roman" w:hAnsi="Arial" w:cs="Arial"/>
          <w:strike/>
          <w:color w:val="222222"/>
          <w:sz w:val="20"/>
          <w:szCs w:val="20"/>
        </w:rPr>
      </w:pP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LA TAVOLA ROTONDA.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In parallelo,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venerdì 27 ottobre dalle ore 10.30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il Palazzo degli Affari ospiterà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la tavola rotonda “Dop e Igp della Toscana. La sostenibilità dall'origine alla tavola”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durante la quale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Fabio del Bravo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900E2D" w:rsidRPr="00900E2D">
        <w:rPr>
          <w:rFonts w:ascii="Arial" w:eastAsia="Times New Roman" w:hAnsi="Arial" w:cs="Arial"/>
          <w:color w:val="222222"/>
          <w:sz w:val="20"/>
          <w:szCs w:val="20"/>
        </w:rPr>
        <w:t>Dirigente della Direzione Servizi per lo Sviluppo Rurale di ISMEA</w:t>
      </w:r>
      <w:r w:rsidR="00900E2D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illustrerà il report completo sull’economia IG della Toscana. Al tavolo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Eugenio Giani,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p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residente della Regione Toscana,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Stefania Saccardi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v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icepresidente e Assessora all’Agroalimentare della Regione Toscana, </w:t>
      </w:r>
      <w:r w:rsidR="00CB4179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Roberto </w:t>
      </w:r>
      <w:proofErr w:type="spellStart"/>
      <w:r w:rsidR="00CB4179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Scalacci</w:t>
      </w:r>
      <w:proofErr w:type="spellEnd"/>
      <w:r w:rsidR="00CB4179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,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direttore Agricoltura e Sviluppo Rurale della Regione Toscana, </w:t>
      </w:r>
      <w:r w:rsidR="00CB4179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Massimo Manetti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presidente di </w:t>
      </w:r>
      <w:proofErr w:type="spellStart"/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PromoFirenze</w:t>
      </w:r>
      <w:proofErr w:type="spellEnd"/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e </w:t>
      </w:r>
      <w:r w:rsidR="00CB4179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Francesco Palumbo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, direttore di Fondazione Sistema Toscana. Previsto anche il video messaggio dell’On.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Paolo De Castro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, membro effettivo della Commissione per Agricoltura e Sviluppo rurale del Parlamento Europeo</w:t>
      </w:r>
      <w:r w:rsidR="005A03BC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="00B75CCA" w:rsidRPr="00900E2D">
        <w:rPr>
          <w:rFonts w:ascii="Arial" w:eastAsia="Times New Roman" w:hAnsi="Arial" w:cs="Arial"/>
          <w:color w:val="222222"/>
          <w:sz w:val="20"/>
          <w:szCs w:val="20"/>
        </w:rPr>
        <w:t>È</w:t>
      </w:r>
      <w:r w:rsidR="005A03BC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stato invitato a partecipare il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Sen.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Patrizio La Pietra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Sottosegretario di Stato Ministero dell’Agricoltura, </w:t>
      </w:r>
      <w:r w:rsidR="00EF5657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della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sovranità alimentare e </w:t>
      </w:r>
      <w:r w:rsidR="00EF5657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delle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foreste</w:t>
      </w:r>
      <w:r w:rsidR="005A03BC" w:rsidRPr="00900E2D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3E04E367" w14:textId="77777777" w:rsidR="00813F23" w:rsidRPr="00900E2D" w:rsidRDefault="00813F23" w:rsidP="00813F23">
      <w:pPr>
        <w:shd w:val="clear" w:color="auto" w:fill="FFFFFF"/>
        <w:spacing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5C94B3AB" w14:textId="63888D74" w:rsidR="00813F23" w:rsidRPr="00900E2D" w:rsidRDefault="00CB4179" w:rsidP="00813F23">
      <w:pPr>
        <w:shd w:val="clear" w:color="auto" w:fill="FFFFFF"/>
        <w:spacing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La mattinata vedrà 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gli interventi del prof. </w:t>
      </w:r>
      <w:r w:rsidR="00813F23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Giovanni Belletti,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Dipartimento di Economia e Management - Università di Firenze, in tema di valorizzazione sostenibile dei prodotti Dop/Igp tra azione collettiva e ruolo dei consorzi, dei presidenti dei Consorzi </w:t>
      </w:r>
      <w:r w:rsidR="00813F23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Fabrizio Filippi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(Consorzio per la Tutela dell'Olio Toscano IGP), </w:t>
      </w:r>
      <w:r w:rsidR="00813F23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Carlo Santarelli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(Consorzio tutela Pecorino Toscano DOP), </w:t>
      </w:r>
      <w:r w:rsidR="00813F23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Stefano Mengoli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(Consorzio Tutela Vitellone Bianco dell'Appennino Centrale IGP), </w:t>
      </w:r>
      <w:r w:rsidR="00813F23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Daniele Scapigliati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>AssoCantuccini</w:t>
      </w:r>
      <w:proofErr w:type="spellEnd"/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consorzio per la tutela dei Cantuccini Toscani IGP), </w:t>
      </w:r>
      <w:r w:rsidR="00813F23" w:rsidRPr="00900E2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Alessandro </w:t>
      </w:r>
      <w:proofErr w:type="spellStart"/>
      <w:r w:rsidR="00813F23" w:rsidRPr="00900E2D">
        <w:rPr>
          <w:rFonts w:ascii="Arial" w:eastAsia="Times New Roman" w:hAnsi="Arial" w:cs="Arial"/>
          <w:b/>
          <w:color w:val="222222"/>
          <w:sz w:val="20"/>
          <w:szCs w:val="20"/>
        </w:rPr>
        <w:t>Iacomoni</w:t>
      </w:r>
      <w:proofErr w:type="spellEnd"/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(Consorzio di Tutela della Finocchiona IGP), oltre a </w:t>
      </w:r>
      <w:r w:rsidR="00813F23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Barbara Maffei,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rappresentante del Comitato Promotore Farina di Castagne della Lunigiana. </w:t>
      </w:r>
    </w:p>
    <w:p w14:paraId="4FBD8B60" w14:textId="77777777" w:rsidR="00813F23" w:rsidRPr="00900E2D" w:rsidRDefault="00813F23" w:rsidP="00813F2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3598BD10" w14:textId="68264C1B" w:rsidR="00813F23" w:rsidRPr="00900E2D" w:rsidRDefault="00900E2D" w:rsidP="00813F23">
      <w:pPr>
        <w:spacing w:line="21" w:lineRule="atLeast"/>
        <w:jc w:val="both"/>
        <w:rPr>
          <w:rFonts w:ascii="Arial" w:hAnsi="Arial" w:cs="Arial"/>
          <w:sz w:val="20"/>
          <w:szCs w:val="20"/>
        </w:rPr>
      </w:pP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GLI INCONTRI </w:t>
      </w:r>
      <w:proofErr w:type="spellStart"/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BtoB</w:t>
      </w:r>
      <w:proofErr w:type="spellEnd"/>
      <w:r w:rsidR="00813F23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.</w:t>
      </w:r>
      <w:r w:rsidR="00813F23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Torna l’interesse dell’Asia, dopo gli anni segnati dalla pandemia, si confermano </w:t>
      </w:r>
      <w:r w:rsidR="00813F23" w:rsidRPr="00900E2D">
        <w:rPr>
          <w:rFonts w:ascii="Arial" w:hAnsi="Arial" w:cs="Arial"/>
          <w:sz w:val="20"/>
          <w:szCs w:val="20"/>
        </w:rPr>
        <w:t xml:space="preserve">mercati consolidati </w:t>
      </w:r>
      <w:r w:rsidR="00813F23" w:rsidRPr="00900E2D">
        <w:rPr>
          <w:rFonts w:ascii="Arial" w:hAnsi="Arial" w:cs="Arial"/>
          <w:b/>
          <w:bCs/>
          <w:sz w:val="20"/>
          <w:szCs w:val="20"/>
        </w:rPr>
        <w:t>l’Europa e il Nord America</w:t>
      </w:r>
      <w:r w:rsidR="00813F23" w:rsidRPr="00900E2D">
        <w:rPr>
          <w:rFonts w:ascii="Arial" w:hAnsi="Arial" w:cs="Arial"/>
          <w:sz w:val="20"/>
          <w:szCs w:val="20"/>
        </w:rPr>
        <w:t xml:space="preserve"> (USA, Canada, Svizzera e Scandinavia in primis), con una significativa apertura verso il </w:t>
      </w:r>
      <w:r w:rsidR="00813F23" w:rsidRPr="00900E2D">
        <w:rPr>
          <w:rFonts w:ascii="Arial" w:hAnsi="Arial" w:cs="Arial"/>
          <w:b/>
          <w:bCs/>
          <w:sz w:val="20"/>
          <w:szCs w:val="20"/>
        </w:rPr>
        <w:t>Far East</w:t>
      </w:r>
      <w:r w:rsidR="00813F23" w:rsidRPr="00900E2D">
        <w:rPr>
          <w:rFonts w:ascii="Arial" w:hAnsi="Arial" w:cs="Arial"/>
          <w:sz w:val="20"/>
          <w:szCs w:val="20"/>
        </w:rPr>
        <w:t xml:space="preserve"> (Giappone, Sud Corea, Singapore). Emerge come i trend di mercato globali siano in continua evoluzione e alla ricerca di prodotti innovativi e di qualità, ma anche legati alla tradizione locale. Caratteristiche in cui la Toscana va forte: prima regione per numero di </w:t>
      </w:r>
      <w:r w:rsidR="00813F23" w:rsidRPr="00900E2D">
        <w:rPr>
          <w:rFonts w:ascii="Arial" w:hAnsi="Arial" w:cs="Arial"/>
          <w:b/>
          <w:bCs/>
          <w:sz w:val="20"/>
          <w:szCs w:val="20"/>
        </w:rPr>
        <w:t>riconoscimenti IG (90 tra food &amp; wine),</w:t>
      </w:r>
      <w:r w:rsidR="00813F23" w:rsidRPr="00900E2D">
        <w:rPr>
          <w:rFonts w:ascii="Arial" w:hAnsi="Arial" w:cs="Arial"/>
          <w:sz w:val="20"/>
          <w:szCs w:val="20"/>
        </w:rPr>
        <w:t xml:space="preserve"> con oltre </w:t>
      </w:r>
      <w:r w:rsidR="00813F23" w:rsidRPr="00900E2D">
        <w:rPr>
          <w:rFonts w:ascii="Arial" w:hAnsi="Arial" w:cs="Arial"/>
          <w:b/>
          <w:bCs/>
          <w:sz w:val="20"/>
          <w:szCs w:val="20"/>
        </w:rPr>
        <w:t>17mila operatori</w:t>
      </w:r>
      <w:r w:rsidR="00813F23" w:rsidRPr="00900E2D">
        <w:rPr>
          <w:rFonts w:ascii="Arial" w:hAnsi="Arial" w:cs="Arial"/>
          <w:sz w:val="20"/>
          <w:szCs w:val="20"/>
        </w:rPr>
        <w:t xml:space="preserve"> impegnati nel settore </w:t>
      </w:r>
      <w:r w:rsidR="002A1FB2" w:rsidRPr="00900E2D">
        <w:rPr>
          <w:rFonts w:ascii="Arial" w:hAnsi="Arial" w:cs="Arial"/>
          <w:sz w:val="20"/>
          <w:szCs w:val="20"/>
        </w:rPr>
        <w:t xml:space="preserve">food and vino </w:t>
      </w:r>
      <w:r w:rsidR="00813F23" w:rsidRPr="00900E2D">
        <w:rPr>
          <w:rFonts w:ascii="Arial" w:hAnsi="Arial" w:cs="Arial"/>
          <w:sz w:val="20"/>
          <w:szCs w:val="20"/>
        </w:rPr>
        <w:t xml:space="preserve">e un valore alla produzione pari complessivamente a </w:t>
      </w:r>
      <w:r>
        <w:rPr>
          <w:rFonts w:ascii="Arial" w:hAnsi="Arial" w:cs="Arial"/>
          <w:sz w:val="20"/>
          <w:szCs w:val="20"/>
        </w:rPr>
        <w:t xml:space="preserve">circa </w:t>
      </w:r>
      <w:r w:rsidR="00813F23" w:rsidRPr="00900E2D">
        <w:rPr>
          <w:rFonts w:ascii="Arial" w:hAnsi="Arial" w:cs="Arial"/>
          <w:sz w:val="20"/>
          <w:szCs w:val="20"/>
        </w:rPr>
        <w:t xml:space="preserve">1,4 </w:t>
      </w:r>
      <w:r>
        <w:rPr>
          <w:rFonts w:ascii="Arial" w:hAnsi="Arial" w:cs="Arial"/>
          <w:sz w:val="20"/>
          <w:szCs w:val="20"/>
        </w:rPr>
        <w:t>miliardi</w:t>
      </w:r>
      <w:r w:rsidR="00813F23" w:rsidRPr="00900E2D">
        <w:rPr>
          <w:rFonts w:ascii="Arial" w:hAnsi="Arial" w:cs="Arial"/>
          <w:sz w:val="20"/>
          <w:szCs w:val="20"/>
        </w:rPr>
        <w:t xml:space="preserve"> di euro (di cui 178 milioni afferenti esclusivamente al food). La Toscana è anche la </w:t>
      </w:r>
      <w:r w:rsidR="00813F23" w:rsidRPr="00900E2D">
        <w:rPr>
          <w:rFonts w:ascii="Arial" w:hAnsi="Arial" w:cs="Arial"/>
          <w:b/>
          <w:bCs/>
          <w:sz w:val="20"/>
          <w:szCs w:val="20"/>
        </w:rPr>
        <w:t>prima regione per valore alla produzione di olio di oliva IG (29 milioni di euro)</w:t>
      </w:r>
      <w:r w:rsidR="002A1FB2" w:rsidRPr="00900E2D">
        <w:rPr>
          <w:rFonts w:ascii="Arial" w:hAnsi="Arial" w:cs="Arial"/>
          <w:sz w:val="20"/>
          <w:szCs w:val="20"/>
        </w:rPr>
        <w:t>. *</w:t>
      </w:r>
    </w:p>
    <w:p w14:paraId="1BF1CAD7" w14:textId="77777777" w:rsidR="00CB4179" w:rsidRPr="00900E2D" w:rsidRDefault="00CB4179" w:rsidP="00813F23">
      <w:pPr>
        <w:spacing w:line="21" w:lineRule="atLeast"/>
        <w:jc w:val="both"/>
        <w:rPr>
          <w:rFonts w:ascii="Arial" w:hAnsi="Arial" w:cs="Arial"/>
          <w:sz w:val="20"/>
          <w:szCs w:val="20"/>
        </w:rPr>
      </w:pPr>
    </w:p>
    <w:p w14:paraId="791B6360" w14:textId="6EB30036" w:rsidR="00CB4179" w:rsidRPr="00900E2D" w:rsidRDefault="00813F23" w:rsidP="00CB417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IL PERFECT MATCH. </w:t>
      </w:r>
      <w:r w:rsidR="00A07E0D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Decine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gli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incontri </w:t>
      </w:r>
      <w:proofErr w:type="spellStart"/>
      <w:r w:rsidR="00900E2D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BtoB</w:t>
      </w:r>
      <w:proofErr w:type="spellEnd"/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organizzati grazie a un accurato processo di profilazione di domanda e offerta - a cura di </w:t>
      </w:r>
      <w:proofErr w:type="spellStart"/>
      <w:r w:rsidRPr="00900E2D">
        <w:rPr>
          <w:rFonts w:ascii="Arial" w:eastAsia="Times New Roman" w:hAnsi="Arial" w:cs="Arial"/>
          <w:color w:val="222222"/>
          <w:sz w:val="20"/>
          <w:szCs w:val="20"/>
        </w:rPr>
        <w:t>PromoFirenze</w:t>
      </w:r>
      <w:proofErr w:type="spellEnd"/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– che si svolge nei mesi precedenti alla manifestazione. </w:t>
      </w:r>
      <w:r w:rsidR="002A1FB2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Cuore del matching è il </w:t>
      </w:r>
      <w:r w:rsidR="002A1FB2"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catalogo online</w:t>
      </w:r>
      <w:r w:rsidR="002A1FB2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a disposizione dei buyer in cui sono stati caricati 304 prodotti afferenti a 17 denominazioni DOP e IGP, con 102 prodotti </w:t>
      </w:r>
      <w:proofErr w:type="spellStart"/>
      <w:r w:rsidR="002A1FB2" w:rsidRPr="00900E2D">
        <w:rPr>
          <w:rFonts w:ascii="Arial" w:eastAsia="Times New Roman" w:hAnsi="Arial" w:cs="Arial"/>
          <w:color w:val="222222"/>
          <w:sz w:val="20"/>
          <w:szCs w:val="20"/>
        </w:rPr>
        <w:t>bio</w:t>
      </w:r>
      <w:proofErr w:type="spellEnd"/>
      <w:r w:rsidR="002A1FB2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da 25 produttori e 66 prodotti PAT da 13 produttori. </w:t>
      </w:r>
      <w:r w:rsidR="00B75CCA" w:rsidRPr="00900E2D">
        <w:rPr>
          <w:rFonts w:ascii="Arial" w:eastAsia="Times New Roman" w:hAnsi="Arial" w:cs="Arial"/>
          <w:color w:val="222222"/>
          <w:sz w:val="20"/>
          <w:szCs w:val="20"/>
        </w:rPr>
        <w:t>I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produttori incontrano i compratori</w:t>
      </w:r>
      <w:r w:rsidR="00B75CCA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che hanno manifestato interesse per categorie o caratteristiche in linea. Si spiegano anche così i dati raccolti a 6 mesi dall’edizione 2022, grazie a una survey trasversale: </w:t>
      </w:r>
      <w:r w:rsidRPr="00900E2D">
        <w:rPr>
          <w:rFonts w:ascii="Arial" w:hAnsi="Arial" w:cs="Arial"/>
          <w:b/>
          <w:bCs/>
          <w:sz w:val="20"/>
          <w:szCs w:val="20"/>
        </w:rPr>
        <w:t>il 74% delle trattative è proseguito dopo l’evento e il 56,3% ha portato a chiudere un accordo commerciale</w:t>
      </w:r>
      <w:r w:rsidR="002A1FB2" w:rsidRPr="00900E2D">
        <w:rPr>
          <w:rFonts w:ascii="Arial" w:hAnsi="Arial" w:cs="Arial"/>
          <w:b/>
          <w:bCs/>
          <w:sz w:val="20"/>
          <w:szCs w:val="20"/>
        </w:rPr>
        <w:t>*</w:t>
      </w:r>
      <w:r w:rsidRPr="00900E2D">
        <w:rPr>
          <w:rFonts w:ascii="Arial" w:hAnsi="Arial" w:cs="Arial"/>
          <w:sz w:val="20"/>
          <w:szCs w:val="20"/>
        </w:rPr>
        <w:t xml:space="preserve">*.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Grazie al contributo della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Camera di Commercio di Firenze e della Toscana Nord Ovest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durante la permanenza in Toscana i buyer avranno anche la possibilità di visitare alcune delle aziende coinvolte per approfondire la conoscenza di prodotti e territori. </w:t>
      </w:r>
    </w:p>
    <w:p w14:paraId="3C0281D3" w14:textId="3439FD67" w:rsidR="00813F23" w:rsidRDefault="00813F23" w:rsidP="00813F23">
      <w:pPr>
        <w:shd w:val="clear" w:color="auto" w:fill="FFFFFF"/>
        <w:spacing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lastRenderedPageBreak/>
        <w:t>MASTERCLASS E PRESS TOUR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. Per la stampa di settore, invece, sono previste venerdì 27 ottobre (ore 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15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16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) alcune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masterclass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di approfondimento su singoli prodotti del territorio, a cura dei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Consorzi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per scoprirne origini, storia ed evoluzione. A condurre le masterclass – riservate a un numero limitato di persone e organizzate in piccoli gruppi in ristoranti aderenti al circuito di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Vetrina Toscana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– saranno alcuni giornalisti di </w:t>
      </w:r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ASET – Associazione </w:t>
      </w:r>
      <w:proofErr w:type="spellStart"/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>Enogastroagroalimentare</w:t>
      </w:r>
      <w:proofErr w:type="spellEnd"/>
      <w:r w:rsidRPr="00900E2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della Toscana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partner dell’evento. Tra i Consorzi 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e le Associazioni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che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parteciperanno alle master class quelli di: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Finocchiona IGP, Prosciutto Toscano DOP, Pane Toscano DOP, </w:t>
      </w:r>
      <w:r w:rsidR="00102AA1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Pecorino Toscano DOP,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Olio Extravergine di Oliva Toscano IGP, Olio Chianti Classico DOP, </w:t>
      </w:r>
      <w:r w:rsidR="00444EAE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Cantuccini Toscani IGP,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Agnello del Centro Italia IGP, Mortadella di Prato IGP</w:t>
      </w:r>
      <w:r w:rsidR="00444EAE" w:rsidRPr="00900E2D">
        <w:rPr>
          <w:rFonts w:ascii="Arial" w:eastAsia="Times New Roman" w:hAnsi="Arial" w:cs="Arial"/>
          <w:color w:val="222222"/>
          <w:sz w:val="20"/>
          <w:szCs w:val="20"/>
        </w:rPr>
        <w:t>, Vitellone Bianco dell’Appennino Centrale IGP; Cinta Senese DOP, Olio Seggiano DOP.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Previsto inoltre un press tour dedicato a stampa 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nazionale e internazionale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specializzata per scoprire i luoghi dove nascono la rinomata Castagna del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Monte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Amiata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IGP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, il delicato Olio di Seggiano 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DOP 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>e alcuni tra i formaggi più premiati al mondo</w:t>
      </w:r>
      <w:r w:rsidR="00CB4179" w:rsidRPr="00900E2D">
        <w:rPr>
          <w:rFonts w:ascii="Arial" w:eastAsia="Times New Roman" w:hAnsi="Arial" w:cs="Arial"/>
          <w:color w:val="222222"/>
          <w:sz w:val="20"/>
          <w:szCs w:val="20"/>
        </w:rPr>
        <w:t>, il Pecorino Toscano DOP, un itinerario</w:t>
      </w:r>
      <w:r w:rsidRPr="00900E2D">
        <w:rPr>
          <w:rFonts w:ascii="Arial" w:eastAsia="Times New Roman" w:hAnsi="Arial" w:cs="Arial"/>
          <w:color w:val="222222"/>
          <w:sz w:val="20"/>
          <w:szCs w:val="20"/>
        </w:rPr>
        <w:t xml:space="preserve"> sulle pendici del vulcano spento che domina la Maremma, tra le province di Siena e Grosseto.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473B54BE" w14:textId="77777777" w:rsidR="00813F23" w:rsidRDefault="00813F23" w:rsidP="00813F23">
      <w:pPr>
        <w:shd w:val="clear" w:color="auto" w:fill="FFFFFF"/>
        <w:spacing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4A2ED5BD" w14:textId="0CE717C8" w:rsidR="00813F23" w:rsidRDefault="00813F23" w:rsidP="00813F23">
      <w:pPr>
        <w:shd w:val="clear" w:color="auto" w:fill="FFFFFF"/>
        <w:spacing w:line="21" w:lineRule="atLeast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  <w:r w:rsidRPr="00A50A4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Buy</w:t>
      </w:r>
      <w:r w:rsidR="000D472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50A4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Food Toscana 2023 è un evento di Regione Toscana e Camera di Commercio di Firenze, organizzato da </w:t>
      </w:r>
      <w:proofErr w:type="spellStart"/>
      <w:r w:rsidRPr="00A50A4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PromoFirenze</w:t>
      </w:r>
      <w:proofErr w:type="spellEnd"/>
      <w:r w:rsidRPr="00A50A4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e Fondazione Sistema Toscana. L'evento, alla sua quinta edizione consecutiva, si avvale della sinergia di Vetrina Toscana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Pr="00A50A4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7352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il progetto regionale che promuove il turismo enogastronomico.</w:t>
      </w:r>
    </w:p>
    <w:p w14:paraId="52FF3508" w14:textId="2F1BD0B9" w:rsidR="00813F23" w:rsidRDefault="00813F23" w:rsidP="00813F2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79DB219" w14:textId="21948A06" w:rsidR="000D472B" w:rsidRDefault="000D472B" w:rsidP="000D472B">
      <w:pPr>
        <w:shd w:val="clear" w:color="auto" w:fill="FFFFFF"/>
        <w:spacing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Media Partner di Buy Food Toscana 2023: Q</w:t>
      </w:r>
      <w:r w:rsidR="000570CC">
        <w:rPr>
          <w:rFonts w:ascii="Arial" w:eastAsia="Times New Roman" w:hAnsi="Arial" w:cs="Arial"/>
          <w:color w:val="222222"/>
          <w:sz w:val="20"/>
          <w:szCs w:val="20"/>
        </w:rPr>
        <w:t>N</w:t>
      </w:r>
      <w:r>
        <w:rPr>
          <w:rFonts w:ascii="Arial" w:eastAsia="Times New Roman" w:hAnsi="Arial" w:cs="Arial"/>
          <w:color w:val="222222"/>
          <w:sz w:val="20"/>
          <w:szCs w:val="20"/>
        </w:rPr>
        <w:t>-La Nazione, Il Tirreno.</w:t>
      </w:r>
    </w:p>
    <w:p w14:paraId="78F63009" w14:textId="77777777" w:rsidR="000D472B" w:rsidRPr="008305C0" w:rsidRDefault="000D472B" w:rsidP="00813F2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DC07207" w14:textId="77777777" w:rsidR="00900E2D" w:rsidRPr="002A1FB2" w:rsidRDefault="00900E2D" w:rsidP="00900E2D">
      <w:pPr>
        <w:shd w:val="clear" w:color="auto" w:fill="FFFFFF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 w:rsidRPr="002A1FB2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* I dati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>relativi alle</w:t>
      </w:r>
      <w:r w:rsidRPr="002A1FB2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IG sono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>di fonte Osservatorio economico Ismea-Qualivita</w:t>
      </w:r>
      <w:r w:rsidRPr="002A1FB2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2021, mentre quelli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relativi al settore </w:t>
      </w:r>
      <w:r w:rsidRPr="002A1FB2">
        <w:rPr>
          <w:rFonts w:ascii="Arial" w:eastAsia="Times New Roman" w:hAnsi="Arial" w:cs="Arial"/>
          <w:i/>
          <w:iCs/>
          <w:color w:val="222222"/>
          <w:sz w:val="20"/>
          <w:szCs w:val="20"/>
        </w:rPr>
        <w:t>Bio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logico sono Elaborazioni Ismea su dati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>Sinab</w:t>
      </w:r>
      <w:proofErr w:type="spellEnd"/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anno</w:t>
      </w:r>
      <w:r w:rsidRPr="002A1FB2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2022</w:t>
      </w:r>
    </w:p>
    <w:p w14:paraId="109BD387" w14:textId="77777777" w:rsidR="002A1FB2" w:rsidRDefault="002A1FB2" w:rsidP="00813F2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7B81C98" w14:textId="171B4E90" w:rsidR="00813F23" w:rsidRPr="00A50A47" w:rsidRDefault="002A1FB2" w:rsidP="00813F23">
      <w:pPr>
        <w:spacing w:line="21" w:lineRule="atLeas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*</w:t>
      </w:r>
      <w:r w:rsidR="00813F23" w:rsidRPr="00A50A47">
        <w:rPr>
          <w:rFonts w:ascii="Arial" w:hAnsi="Arial" w:cs="Arial"/>
          <w:i/>
          <w:iCs/>
          <w:color w:val="000000" w:themeColor="text1"/>
          <w:sz w:val="20"/>
          <w:szCs w:val="20"/>
        </w:rPr>
        <w:t>*Il campione dei seller sul quale si basano i Follow-Up Highlights è composto da 69 aziende toscane sulle 72 che hanno partecipato all’edizione 2022 di Buy</w:t>
      </w:r>
      <w:r w:rsidR="000D472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813F23" w:rsidRPr="00A50A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Food Toscana, pari al 95,8% dei produttori partecipanti all’evento, mentre il campione dei buyer è composto da 31 importatori sui 46 che hanno effettivamente partecipato all’edizione 2022, pari al 67,3%. </w:t>
      </w:r>
    </w:p>
    <w:p w14:paraId="5D2DB84D" w14:textId="77777777" w:rsidR="00813F23" w:rsidRDefault="00813F23" w:rsidP="00813F23">
      <w:pPr>
        <w:spacing w:line="21" w:lineRule="atLeast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044DF2" w14:textId="77777777" w:rsidR="00813F23" w:rsidRDefault="00813F23" w:rsidP="00813F23">
      <w:pPr>
        <w:spacing w:line="21" w:lineRule="atLeast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2F0CF0" w14:textId="0DA1A296" w:rsidR="00813F23" w:rsidRPr="00773528" w:rsidRDefault="00813F23" w:rsidP="00813F23">
      <w:pPr>
        <w:spacing w:line="21" w:lineRule="atLeast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73528">
        <w:rPr>
          <w:rFonts w:ascii="Arial" w:hAnsi="Arial" w:cs="Arial"/>
          <w:b/>
          <w:bCs/>
          <w:color w:val="000000" w:themeColor="text1"/>
          <w:sz w:val="20"/>
          <w:szCs w:val="20"/>
        </w:rPr>
        <w:t>Contatti ufficio stampa per Buy</w:t>
      </w:r>
      <w:r w:rsidR="000D47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73528">
        <w:rPr>
          <w:rFonts w:ascii="Arial" w:hAnsi="Arial" w:cs="Arial"/>
          <w:b/>
          <w:bCs/>
          <w:color w:val="000000" w:themeColor="text1"/>
          <w:sz w:val="20"/>
          <w:szCs w:val="20"/>
        </w:rPr>
        <w:t>Food 2023</w:t>
      </w:r>
    </w:p>
    <w:p w14:paraId="16102CBB" w14:textId="77777777" w:rsidR="00813F23" w:rsidRDefault="00813F23" w:rsidP="00813F23">
      <w:pPr>
        <w:spacing w:line="21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Mariangela Della Monica - Responsabile ufficio stampa FST Cell. 334 6606721 m.dellamonica@fst.it</w:t>
      </w:r>
    </w:p>
    <w:p w14:paraId="0590B7BC" w14:textId="77777777" w:rsidR="00813F23" w:rsidRDefault="00813F23" w:rsidP="00813F23">
      <w:r>
        <w:rPr>
          <w:rFonts w:ascii="Arial" w:hAnsi="Arial" w:cs="Arial"/>
          <w:sz w:val="20"/>
          <w:szCs w:val="20"/>
        </w:rPr>
        <w:t>Francesca Puliti Cell. 392 9475467 francesca.puliti@chiarellopulitipartners.com</w:t>
      </w:r>
    </w:p>
    <w:p w14:paraId="3E869BFD" w14:textId="0D8C36B5" w:rsidR="006D3F45" w:rsidRPr="00813F23" w:rsidRDefault="006D3F45" w:rsidP="00813F23"/>
    <w:sectPr w:rsidR="006D3F45" w:rsidRPr="00813F23" w:rsidSect="001520F6">
      <w:headerReference w:type="default" r:id="rId7"/>
      <w:footerReference w:type="default" r:id="rId8"/>
      <w:pgSz w:w="11900" w:h="16840"/>
      <w:pgMar w:top="2268" w:right="907" w:bottom="2041" w:left="90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8350" w14:textId="77777777" w:rsidR="00AF798F" w:rsidRDefault="00AF798F" w:rsidP="00084A8B">
      <w:r>
        <w:separator/>
      </w:r>
    </w:p>
  </w:endnote>
  <w:endnote w:type="continuationSeparator" w:id="0">
    <w:p w14:paraId="44AB47B3" w14:textId="77777777" w:rsidR="00AF798F" w:rsidRDefault="00AF798F" w:rsidP="0008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1FFB" w14:textId="06FF44F2" w:rsidR="00084A8B" w:rsidRDefault="00084A8B" w:rsidP="00084A8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4880" w14:textId="77777777" w:rsidR="00AF798F" w:rsidRDefault="00AF798F" w:rsidP="00084A8B">
      <w:r>
        <w:separator/>
      </w:r>
    </w:p>
  </w:footnote>
  <w:footnote w:type="continuationSeparator" w:id="0">
    <w:p w14:paraId="4EB6B823" w14:textId="77777777" w:rsidR="00AF798F" w:rsidRDefault="00AF798F" w:rsidP="0008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4F0B" w14:textId="77777777" w:rsidR="00084A8B" w:rsidRDefault="00084A8B" w:rsidP="00084A8B">
    <w:pPr>
      <w:pStyle w:val="Intestazione"/>
      <w:jc w:val="center"/>
    </w:pPr>
    <w:r>
      <w:rPr>
        <w:noProof/>
      </w:rPr>
      <w:drawing>
        <wp:inline distT="0" distB="0" distL="0" distR="0" wp14:anchorId="3480622C" wp14:editId="3C430CB9">
          <wp:extent cx="1080000" cy="1118012"/>
          <wp:effectExtent l="0" t="0" r="12700" b="0"/>
          <wp:docPr id="2" name="Immagine 2" descr="mac giusti:Users:Giovanni:Desktop:Programma word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giusti:Users:Giovanni:Desktop:Programma word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118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B11"/>
    <w:multiLevelType w:val="multilevel"/>
    <w:tmpl w:val="41A2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385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8B"/>
    <w:rsid w:val="000570CC"/>
    <w:rsid w:val="0008170C"/>
    <w:rsid w:val="00084A8B"/>
    <w:rsid w:val="000D472B"/>
    <w:rsid w:val="00102AA1"/>
    <w:rsid w:val="001520F6"/>
    <w:rsid w:val="001D2B98"/>
    <w:rsid w:val="00260272"/>
    <w:rsid w:val="002A1FB2"/>
    <w:rsid w:val="00391304"/>
    <w:rsid w:val="003940C2"/>
    <w:rsid w:val="0039509C"/>
    <w:rsid w:val="003D2F78"/>
    <w:rsid w:val="00444EAE"/>
    <w:rsid w:val="00546D2E"/>
    <w:rsid w:val="005652F1"/>
    <w:rsid w:val="00595DF5"/>
    <w:rsid w:val="005A03BC"/>
    <w:rsid w:val="005C5858"/>
    <w:rsid w:val="006536F5"/>
    <w:rsid w:val="00662F62"/>
    <w:rsid w:val="00680E74"/>
    <w:rsid w:val="006D3F45"/>
    <w:rsid w:val="00724498"/>
    <w:rsid w:val="00813F23"/>
    <w:rsid w:val="00865063"/>
    <w:rsid w:val="008D3F6F"/>
    <w:rsid w:val="00900E2D"/>
    <w:rsid w:val="009E2FA9"/>
    <w:rsid w:val="00A07E0D"/>
    <w:rsid w:val="00A800EF"/>
    <w:rsid w:val="00AF798F"/>
    <w:rsid w:val="00B75CCA"/>
    <w:rsid w:val="00BC03AD"/>
    <w:rsid w:val="00CB4179"/>
    <w:rsid w:val="00CB6678"/>
    <w:rsid w:val="00EB1E99"/>
    <w:rsid w:val="00EF5657"/>
    <w:rsid w:val="00F56FB0"/>
    <w:rsid w:val="00FA5524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FD342"/>
  <w14:defaultImageDpi w14:val="300"/>
  <w15:docId w15:val="{F9604B1C-BC50-B548-B13C-963DAEF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01">
    <w:name w:val="Paragrafo 01"/>
    <w:basedOn w:val="Normale"/>
    <w:autoRedefine/>
    <w:qFormat/>
    <w:rsid w:val="003D2F78"/>
    <w:pPr>
      <w:widowControl w:val="0"/>
      <w:autoSpaceDN w:val="0"/>
      <w:adjustRightInd w:val="0"/>
      <w:spacing w:after="120" w:line="36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84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A8B"/>
  </w:style>
  <w:style w:type="paragraph" w:styleId="Pidipagina">
    <w:name w:val="footer"/>
    <w:basedOn w:val="Normale"/>
    <w:link w:val="PidipaginaCarattere"/>
    <w:uiPriority w:val="99"/>
    <w:unhideWhenUsed/>
    <w:rsid w:val="00084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A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A8B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80E7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80E74"/>
    <w:pPr>
      <w:widowContro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E74"/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80E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20F6"/>
    <w:rPr>
      <w:color w:val="605E5C"/>
      <w:shd w:val="clear" w:color="auto" w:fill="E1DFDD"/>
    </w:rPr>
  </w:style>
  <w:style w:type="paragraph" w:customStyle="1" w:styleId="m8179681457732313367m3825742503123221627xmsonormal">
    <w:name w:val="m_8179681457732313367m3825742503123221627xmsonormal"/>
    <w:basedOn w:val="Normale"/>
    <w:rsid w:val="00CB41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8179681457732313367m3825742503123221627xelementtoproof">
    <w:name w:val="m_8179681457732313367m3825742503123221627xelementtoproof"/>
    <w:basedOn w:val="Normale"/>
    <w:rsid w:val="00CB41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A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Giusti</dc:creator>
  <cp:keywords/>
  <dc:description/>
  <cp:lastModifiedBy>Mariangela Della Monica</cp:lastModifiedBy>
  <cp:revision>2</cp:revision>
  <cp:lastPrinted>2023-10-18T09:21:00Z</cp:lastPrinted>
  <dcterms:created xsi:type="dcterms:W3CDTF">2023-10-18T09:25:00Z</dcterms:created>
  <dcterms:modified xsi:type="dcterms:W3CDTF">2023-10-18T09:25:00Z</dcterms:modified>
</cp:coreProperties>
</file>